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745A55AF" w:rsidR="008A0309" w:rsidRPr="001318E4" w:rsidRDefault="00F91227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ელექტრო სახარჯო მასალების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RFQ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745A55AF" w:rsidR="008A0309" w:rsidRPr="001318E4" w:rsidRDefault="00F91227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ელექტრო სახარჯო მასალების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RFQ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B54832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9E110E" w:rsidRDefault="00EC7EC2" w:rsidP="00EC7EC2">
                                      <w:r w:rsidRPr="009E110E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9E110E">
                                        <w:t xml:space="preserve"> #</w:t>
                                      </w:r>
                                      <w:r w:rsidRPr="009E110E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EC7EC2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10" w:history="1"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EC7EC2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EC7EC2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  <w:r w:rsidRPr="00EC7EC2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DF2E46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3251D2E" w14:textId="793AE020" w:rsidR="00EC7EC2" w:rsidRPr="00247A3A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9E110E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9E110E">
                                        <w:t xml:space="preserve"> </w:t>
                                      </w:r>
                                      <w:bookmarkStart w:id="0" w:name="_GoBack"/>
                                      <w:r w:rsidR="00263FDE" w:rsidRPr="00247A3A">
                                        <w:rPr>
                                          <w:color w:val="auto"/>
                                        </w:rPr>
                                        <w:t>06</w:t>
                                      </w:r>
                                      <w:r w:rsidRPr="00247A3A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263FDE" w:rsidRPr="00247A3A">
                                        <w:rPr>
                                          <w:color w:val="auto"/>
                                        </w:rPr>
                                        <w:t>11</w:t>
                                      </w:r>
                                      <w:r w:rsidRPr="00247A3A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263FDE" w:rsidRPr="00247A3A">
                                        <w:rPr>
                                          <w:color w:val="auto"/>
                                        </w:rPr>
                                        <w:t>2</w:t>
                                      </w:r>
                                      <w:r w:rsidR="009E110E" w:rsidRPr="00247A3A">
                                        <w:rPr>
                                          <w:color w:val="auto"/>
                                        </w:rPr>
                                        <w:t>020</w:t>
                                      </w:r>
                                    </w:p>
                                    <w:p w14:paraId="05817507" w14:textId="22FCD741" w:rsidR="00EC7EC2" w:rsidRPr="009E110E" w:rsidRDefault="00EC7EC2" w:rsidP="009E110E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247A3A">
                                        <w:rPr>
                                          <w:color w:val="auto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247A3A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r w:rsidR="009E110E" w:rsidRPr="00247A3A">
                                        <w:rPr>
                                          <w:color w:val="auto"/>
                                        </w:rPr>
                                        <w:t>13</w:t>
                                      </w:r>
                                      <w:r w:rsidRPr="00247A3A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9E110E" w:rsidRPr="00247A3A">
                                        <w:rPr>
                                          <w:color w:val="auto"/>
                                        </w:rPr>
                                        <w:t>11</w:t>
                                      </w:r>
                                      <w:r w:rsidRPr="00247A3A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9E110E" w:rsidRPr="00247A3A">
                                        <w:rPr>
                                          <w:color w:val="auto"/>
                                        </w:rPr>
                                        <w:t>2020</w:t>
                                      </w:r>
                                      <w:r w:rsidRPr="00247A3A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="009E110E" w:rsidRPr="00247A3A">
                                        <w:rPr>
                                          <w:color w:val="auto"/>
                                        </w:rPr>
                                        <w:t>18</w:t>
                                      </w:r>
                                      <w:r w:rsidRPr="00247A3A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="009E110E" w:rsidRPr="00247A3A">
                                        <w:rPr>
                                          <w:color w:val="auto"/>
                                        </w:rPr>
                                        <w:t>00</w:t>
                                      </w:r>
                                      <w:bookmarkEnd w:id="0"/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  <w:tr w:rsidR="00EC7EC2" w:rsidRPr="00DF2E46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9E110E" w:rsidRDefault="00EC7EC2" w:rsidP="00EC7EC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DC35FC" w:rsidRDefault="00EC7EC2" w:rsidP="00EC7EC2">
                                      <w:pPr>
                                        <w:rPr>
                                          <w:highlight w:val="yellow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C4666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B54832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9E110E" w:rsidRDefault="00EC7EC2" w:rsidP="00EC7EC2">
                                <w:r w:rsidRPr="009E110E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9E110E">
                                  <w:t xml:space="preserve"> #</w:t>
                                </w:r>
                                <w:r w:rsidRPr="009E110E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EC7EC2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1" w:history="1"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EC7EC2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EC7EC2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EC7EC2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  <w:r w:rsidRPr="00EC7EC2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DF2E46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03251D2E" w14:textId="793AE020" w:rsidR="00EC7EC2" w:rsidRPr="00247A3A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9E110E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9E110E">
                                  <w:t xml:space="preserve"> </w:t>
                                </w:r>
                                <w:bookmarkStart w:id="1" w:name="_GoBack"/>
                                <w:r w:rsidR="00263FDE" w:rsidRPr="00247A3A">
                                  <w:rPr>
                                    <w:color w:val="auto"/>
                                  </w:rPr>
                                  <w:t>06</w:t>
                                </w:r>
                                <w:r w:rsidRPr="00247A3A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263FDE" w:rsidRPr="00247A3A">
                                  <w:rPr>
                                    <w:color w:val="auto"/>
                                  </w:rPr>
                                  <w:t>11</w:t>
                                </w:r>
                                <w:r w:rsidRPr="00247A3A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263FDE" w:rsidRPr="00247A3A">
                                  <w:rPr>
                                    <w:color w:val="auto"/>
                                  </w:rPr>
                                  <w:t>2</w:t>
                                </w:r>
                                <w:r w:rsidR="009E110E" w:rsidRPr="00247A3A">
                                  <w:rPr>
                                    <w:color w:val="auto"/>
                                  </w:rPr>
                                  <w:t>020</w:t>
                                </w:r>
                              </w:p>
                              <w:p w14:paraId="05817507" w14:textId="22FCD741" w:rsidR="00EC7EC2" w:rsidRPr="009E110E" w:rsidRDefault="00EC7EC2" w:rsidP="009E110E">
                                <w:pPr>
                                  <w:rPr>
                                    <w:lang w:val="ka-GE"/>
                                  </w:rPr>
                                </w:pPr>
                                <w:r w:rsidRPr="00247A3A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47A3A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r w:rsidR="009E110E" w:rsidRPr="00247A3A">
                                  <w:rPr>
                                    <w:color w:val="auto"/>
                                  </w:rPr>
                                  <w:t>13</w:t>
                                </w:r>
                                <w:r w:rsidRPr="00247A3A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9E110E" w:rsidRPr="00247A3A">
                                  <w:rPr>
                                    <w:color w:val="auto"/>
                                  </w:rPr>
                                  <w:t>11</w:t>
                                </w:r>
                                <w:r w:rsidRPr="00247A3A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9E110E" w:rsidRPr="00247A3A">
                                  <w:rPr>
                                    <w:color w:val="auto"/>
                                  </w:rPr>
                                  <w:t>2020</w:t>
                                </w:r>
                                <w:r w:rsidRPr="00247A3A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="009E110E" w:rsidRPr="00247A3A">
                                  <w:rPr>
                                    <w:color w:val="auto"/>
                                  </w:rPr>
                                  <w:t>18</w:t>
                                </w:r>
                                <w:r w:rsidRPr="00247A3A">
                                  <w:rPr>
                                    <w:color w:val="auto"/>
                                  </w:rPr>
                                  <w:t>:</w:t>
                                </w:r>
                                <w:r w:rsidR="009E110E" w:rsidRPr="00247A3A">
                                  <w:rPr>
                                    <w:color w:val="auto"/>
                                  </w:rPr>
                                  <w:t>00</w:t>
                                </w:r>
                                <w:bookmarkEnd w:id="1"/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  <w:tr w:rsidR="00EC7EC2" w:rsidRPr="00DF2E46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9E110E" w:rsidRDefault="00EC7EC2" w:rsidP="00EC7EC2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DC35FC" w:rsidRDefault="00EC7EC2" w:rsidP="00EC7EC2">
                                <w:pPr>
                                  <w:rPr>
                                    <w:highlight w:val="yellow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C4666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F6738D6" w14:textId="5D2CF76A" w:rsidR="004D13FF" w:rsidRPr="001318E4" w:rsidRDefault="00F91227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2" w:name="_Toc456347628"/>
      <w:bookmarkStart w:id="3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ელექტრო სახარჯო მასალების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RFQ ტენდერი</w:t>
      </w:r>
      <w:r w:rsidR="00C57229"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r w:rsidR="003934C0"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RFQ ტენდერი</w:t>
      </w:r>
      <w:r w:rsidR="004D13FF"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263FDE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263FDE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263FDE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2"/>
    <w:bookmarkEnd w:id="3"/>
    <w:p w14:paraId="3160E1B8" w14:textId="2A4EE53F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4" w:name="_Toc462407871"/>
      <w:r w:rsidR="00F91227" w:rsidRPr="00F91227">
        <w:rPr>
          <w:rFonts w:eastAsiaTheme="minorEastAsia" w:cs="Sylfaen"/>
          <w:color w:val="244061" w:themeColor="accent1" w:themeShade="80"/>
          <w:lang w:val="ka-GE" w:eastAsia="ja-JP"/>
        </w:rPr>
        <w:t>ელექტრო სახარჯო მასალების</w:t>
      </w:r>
      <w:r w:rsidR="00F91227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C57229" w:rsidRPr="00C57229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3934C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RFQ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5" w:name="_Toc29923760"/>
      <w:bookmarkStart w:id="6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5"/>
      <w:bookmarkEnd w:id="6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5D921A5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</w:p>
    <w:p w14:paraId="6F91346B" w14:textId="64008DC1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7" w:name="_Toc29923762"/>
      <w:bookmarkStart w:id="8" w:name="_Toc49178720"/>
      <w:bookmarkEnd w:id="4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7"/>
      <w:bookmarkEnd w:id="8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9" w:name="_Toc29923763"/>
      <w:bookmarkStart w:id="10" w:name="_Toc49178721"/>
      <w:r w:rsidRPr="001318E4">
        <w:rPr>
          <w:rFonts w:ascii="Sylfaen" w:hAnsi="Sylfaen" w:cs="Sylfaen"/>
        </w:rPr>
        <w:t>თანდართული დოკუმენტაცია</w:t>
      </w:r>
      <w:bookmarkEnd w:id="9"/>
      <w:bookmarkEnd w:id="10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1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1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45" w:type="dxa"/>
        <w:tblInd w:w="-5" w:type="dxa"/>
        <w:tblLook w:val="04A0" w:firstRow="1" w:lastRow="0" w:firstColumn="1" w:lastColumn="0" w:noHBand="0" w:noVBand="1"/>
      </w:tblPr>
      <w:tblGrid>
        <w:gridCol w:w="4331"/>
        <w:gridCol w:w="1082"/>
        <w:gridCol w:w="4932"/>
      </w:tblGrid>
      <w:tr w:rsidR="009D27E5" w:rsidRPr="009D27E5" w14:paraId="0317D777" w14:textId="77777777" w:rsidTr="00DB2EBF">
        <w:trPr>
          <w:trHeight w:val="248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2A550276" w:rsidR="009D27E5" w:rsidRPr="009D27E5" w:rsidRDefault="00DB2EBF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 xml:space="preserve">ჯამური </w:t>
            </w:r>
            <w:r w:rsidR="006B49B0"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DB2EBF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7B48B9DE" w:rsidR="009D27E5" w:rsidRPr="00DB2EBF" w:rsidRDefault="00DB2EBF" w:rsidP="009D27E5">
            <w:pPr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ვარიანტი 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45870C66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DB2EBF" w:rsidRPr="009D27E5" w14:paraId="2E1CF267" w14:textId="77777777" w:rsidTr="00DB2EBF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1DD7E" w14:textId="6E67EFFB" w:rsidR="00DB2EBF" w:rsidRDefault="00DB2EBF" w:rsidP="009D27E5">
            <w:pPr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ვარიანტი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6AD269" w14:textId="77777777" w:rsidR="00DB2EBF" w:rsidRDefault="00DB2EBF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6E35A" w14:textId="77777777" w:rsidR="00DB2EBF" w:rsidRPr="009D27E5" w:rsidRDefault="00DB2EBF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DB2EBF" w:rsidRPr="009D27E5" w14:paraId="4765FD97" w14:textId="77777777" w:rsidTr="00DB2EBF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C115F" w14:textId="77777777" w:rsidR="00DB2EBF" w:rsidRDefault="00DB2EBF" w:rsidP="009D27E5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34EF8" w14:textId="77777777" w:rsidR="00DB2EBF" w:rsidRDefault="00DB2EBF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93152" w14:textId="77777777" w:rsidR="00DB2EBF" w:rsidRPr="009D27E5" w:rsidRDefault="00DB2EBF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DB2EBF" w:rsidRPr="009D27E5" w14:paraId="65B013F9" w14:textId="77777777" w:rsidTr="00DB2EBF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E6BCA" w14:textId="77777777" w:rsidR="00DB2EBF" w:rsidRDefault="00DB2EBF" w:rsidP="009D27E5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9E75E" w14:textId="77777777" w:rsidR="00DB2EBF" w:rsidRDefault="00DB2EBF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DE9D2" w14:textId="77777777" w:rsidR="00DB2EBF" w:rsidRPr="009D27E5" w:rsidRDefault="00DB2EBF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DB2EBF" w:rsidRPr="009D27E5" w14:paraId="3279039B" w14:textId="77777777" w:rsidTr="00DB2EBF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8A111" w14:textId="77777777" w:rsidR="00DB2EBF" w:rsidRDefault="00DB2EBF" w:rsidP="009D27E5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7F72C" w14:textId="77777777" w:rsidR="00DB2EBF" w:rsidRDefault="00DB2EBF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21F55" w14:textId="77777777" w:rsidR="00DB2EBF" w:rsidRPr="009D27E5" w:rsidRDefault="00DB2EBF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7855A9ED" w14:textId="1B04942D" w:rsidR="0016141B" w:rsidRPr="001318E4" w:rsidRDefault="00E3757A" w:rsidP="00DB2EBF">
      <w:pPr>
        <w:pStyle w:val="a0"/>
        <w:numPr>
          <w:ilvl w:val="0"/>
          <w:numId w:val="0"/>
        </w:numPr>
      </w:pPr>
      <w:r w:rsidRPr="00DB2EBF">
        <w:br w:type="page"/>
      </w:r>
      <w:bookmarkStart w:id="12" w:name="_Toc29923766"/>
      <w:proofErr w:type="spellStart"/>
      <w:proofErr w:type="gramStart"/>
      <w:r w:rsidR="0016141B" w:rsidRPr="00984169">
        <w:lastRenderedPageBreak/>
        <w:t>დანართი</w:t>
      </w:r>
      <w:proofErr w:type="spellEnd"/>
      <w:proofErr w:type="gram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2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2D3F5FFC" w:rsidR="003D248F" w:rsidRDefault="00DB2EBF" w:rsidP="003D248F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>ვარიანტი 1</w:t>
      </w:r>
    </w:p>
    <w:p w14:paraId="225E061A" w14:textId="0B169BB7" w:rsidR="00C57229" w:rsidRDefault="00C57229" w:rsidP="00C57229">
      <w:pPr>
        <w:rPr>
          <w:lang w:val="ka-GE"/>
        </w:rPr>
      </w:pPr>
    </w:p>
    <w:p w14:paraId="7BF52FBD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ალუმინის კაბელი კვეთა 4x95 - 350 მეტრი (geko 85000–ისთვის (დიდი ლურჯი))</w:t>
      </w:r>
    </w:p>
    <w:p w14:paraId="08356F62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ალუმინის კაბელი კვეთა 4x95 - 180 მეტრი (geko 15000–ისთვის (პატარა ლურჯი))</w:t>
      </w:r>
    </w:p>
    <w:p w14:paraId="04FEB0B0" w14:textId="2BC2CADE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ბუმიკები 4x95 კაბელისთვის -  38 ცალი</w:t>
      </w:r>
    </w:p>
    <w:p w14:paraId="39CCF840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გადასაბმელი ქურო 4x95 კაბელისთვის – 2 ცალი</w:t>
      </w:r>
    </w:p>
    <w:p w14:paraId="075C7E74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კაბელის სამაგრი – 25 ცალი</w:t>
      </w:r>
    </w:p>
    <w:p w14:paraId="026BDB65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გოფრირებული მილი 95–ანი კაბელისთვის – 150 მეტრი</w:t>
      </w:r>
    </w:p>
    <w:p w14:paraId="7ECC6E74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</w:p>
    <w:p w14:paraId="03B66443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ალუმინის კაბელი კვეთა 4x25 - 60 მეტრი</w:t>
      </w:r>
    </w:p>
    <w:p w14:paraId="07311C29" w14:textId="186F8645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ბუმიკები 4x25 კაბელისთვის -  6 ცალი</w:t>
      </w:r>
    </w:p>
    <w:p w14:paraId="0211FEC1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გადასაბმელი ქურო 4x25 კაბელისთვის – 2 ცალი</w:t>
      </w:r>
    </w:p>
    <w:p w14:paraId="0766EBE3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კაბელის სამაგრი – 20 ცალი</w:t>
      </w:r>
    </w:p>
    <w:p w14:paraId="127418AB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გოფრირებული მილი 25–ანი კაბელისთვის – 50 მეტრი</w:t>
      </w:r>
    </w:p>
    <w:p w14:paraId="0AE3213F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</w:p>
    <w:p w14:paraId="467F1CE7" w14:textId="7777777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</w:p>
    <w:p w14:paraId="1584B628" w14:textId="34B22217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 xml:space="preserve">ხაზების გადამრთველი (პერეკიდნოი) </w:t>
      </w:r>
      <w:r w:rsidR="007E3406" w:rsidRPr="00057B2E">
        <w:rPr>
          <w:rFonts w:cs="Sylfaen"/>
          <w:color w:val="244061" w:themeColor="accent1" w:themeShade="80"/>
          <w:lang w:val="ka-GE"/>
        </w:rPr>
        <w:t>– 1 ცალი</w:t>
      </w:r>
    </w:p>
    <w:p w14:paraId="1F4CCB70" w14:textId="767CD6DA" w:rsidR="00DB2EBF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ბუმიკები</w:t>
      </w:r>
      <w:r w:rsidR="007E3406" w:rsidRPr="00057B2E">
        <w:rPr>
          <w:rFonts w:cs="Sylfaen"/>
          <w:color w:val="244061" w:themeColor="accent1" w:themeShade="80"/>
          <w:lang w:val="ka-GE"/>
        </w:rPr>
        <w:t xml:space="preserve"> - </w:t>
      </w:r>
      <w:r w:rsidRPr="00057B2E">
        <w:rPr>
          <w:rFonts w:cs="Sylfaen"/>
          <w:color w:val="244061" w:themeColor="accent1" w:themeShade="80"/>
          <w:lang w:val="ka-GE"/>
        </w:rPr>
        <w:t>16 ცალი</w:t>
      </w:r>
    </w:p>
    <w:p w14:paraId="0B324EDA" w14:textId="628D31DC" w:rsidR="00C57229" w:rsidRPr="00057B2E" w:rsidRDefault="00DB2EBF" w:rsidP="00057B2E">
      <w:pPr>
        <w:ind w:left="360"/>
        <w:rPr>
          <w:rFonts w:cs="Sylfaen"/>
          <w:color w:val="244061" w:themeColor="accent1" w:themeShade="80"/>
          <w:lang w:val="ka-GE"/>
        </w:rPr>
      </w:pPr>
      <w:r w:rsidRPr="00057B2E">
        <w:rPr>
          <w:rFonts w:cs="Sylfaen"/>
          <w:color w:val="244061" w:themeColor="accent1" w:themeShade="80"/>
          <w:lang w:val="ka-GE"/>
        </w:rPr>
        <w:t>პლასტმასის ყუთი გადამრტველისთვის – 1 ცალი</w:t>
      </w:r>
    </w:p>
    <w:p w14:paraId="5DBEB58A" w14:textId="05021F62" w:rsidR="007E3406" w:rsidRPr="00057B2E" w:rsidRDefault="007E3406" w:rsidP="00057B2E">
      <w:pPr>
        <w:ind w:left="360"/>
        <w:rPr>
          <w:rFonts w:cs="Sylfaen"/>
          <w:color w:val="244061" w:themeColor="accent1" w:themeShade="80"/>
          <w:lang w:val="ka-GE"/>
        </w:rPr>
      </w:pPr>
    </w:p>
    <w:p w14:paraId="3D7A9405" w14:textId="77777777" w:rsidR="007E3406" w:rsidRPr="00057B2E" w:rsidRDefault="007E3406" w:rsidP="00057B2E">
      <w:pPr>
        <w:ind w:left="360"/>
        <w:rPr>
          <w:rFonts w:cs="Sylfaen"/>
          <w:color w:val="244061" w:themeColor="accent1" w:themeShade="80"/>
          <w:lang w:val="ka-GE"/>
        </w:rPr>
      </w:pPr>
    </w:p>
    <w:p w14:paraId="7EFB000F" w14:textId="220CFA64" w:rsidR="007E3406" w:rsidRDefault="007E3406" w:rsidP="007E3406">
      <w:pPr>
        <w:ind w:left="360"/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>ვარიანტი 2</w:t>
      </w:r>
    </w:p>
    <w:p w14:paraId="66EE9DE6" w14:textId="77777777" w:rsid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</w:p>
    <w:p w14:paraId="121FBB9A" w14:textId="18F8F68C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ალუმინის კაბელი კვეთა 4x120 - 200 მეტრი  (Power Generator 200–ისთვის)</w:t>
      </w:r>
    </w:p>
    <w:p w14:paraId="666CC03C" w14:textId="7EFAA375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ბუმიკები 4x120 კაბელისთვის</w:t>
      </w:r>
      <w:r>
        <w:rPr>
          <w:rFonts w:cs="Sylfaen"/>
          <w:color w:val="244061" w:themeColor="accent1" w:themeShade="80"/>
          <w:lang w:val="ka-GE"/>
        </w:rPr>
        <w:t xml:space="preserve"> - </w:t>
      </w:r>
      <w:r w:rsidRPr="007E3406">
        <w:rPr>
          <w:rFonts w:cs="Sylfaen"/>
          <w:color w:val="244061" w:themeColor="accent1" w:themeShade="80"/>
          <w:lang w:val="ka-GE"/>
        </w:rPr>
        <w:t xml:space="preserve"> 26 ცალი</w:t>
      </w:r>
    </w:p>
    <w:p w14:paraId="7517ADF6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კაბელის სამაგრი – 50 ცალი</w:t>
      </w:r>
    </w:p>
    <w:p w14:paraId="2879B359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გოფრირებული მილი 120–ანი კაბელისთვის – 150 მეტრი</w:t>
      </w:r>
    </w:p>
    <w:p w14:paraId="5FE23645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ავტომატი 250A – 1 ცალი</w:t>
      </w:r>
    </w:p>
    <w:p w14:paraId="382BF531" w14:textId="17E8F428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პლასტიკის ყუთი ავტომატისთვის 40x60x40 – 1 ცალი</w:t>
      </w:r>
    </w:p>
    <w:p w14:paraId="096A35DE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</w:p>
    <w:p w14:paraId="77CDD185" w14:textId="7F067F8F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საიზოლაციო მასალები (დიდი ზომის ჯგუტები, გაზი, იზოლენტა, რეიჰემი)</w:t>
      </w:r>
    </w:p>
    <w:p w14:paraId="2DEBCF75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</w:p>
    <w:p w14:paraId="4A8283F6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სასიგნალო კაბელი გენერატორებისთვის კვეთა 8x1.5 540 მეტრი (3 ცალი 180მ)</w:t>
      </w:r>
    </w:p>
    <w:p w14:paraId="09C63748" w14:textId="08EAF92A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გოფრირებული მილი 8x1.5–ანი კაბელისთვის – 540 მეტრი</w:t>
      </w:r>
    </w:p>
    <w:p w14:paraId="144375F0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</w:p>
    <w:p w14:paraId="7B10352D" w14:textId="303FCDE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სპილენძ</w:t>
      </w:r>
      <w:r w:rsidRPr="007E3406">
        <w:rPr>
          <w:rFonts w:cs="Sylfaen"/>
          <w:color w:val="244061" w:themeColor="accent1" w:themeShade="80"/>
          <w:lang w:val="ka-GE"/>
        </w:rPr>
        <w:t>ის კაბელი კვეთა 4x4 - 180 მეტრი (გენერატორების აკუმულატორების დასატენად,ძრავის გათბობის სყსტემისთვის, განათებისთვის და სხვა)</w:t>
      </w:r>
    </w:p>
    <w:p w14:paraId="37D4FA02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გოფრირებული მილი 4x4–ანი კაბელისთვის – 180 მეტრი</w:t>
      </w:r>
    </w:p>
    <w:p w14:paraId="0087DF8B" w14:textId="77777777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ავტომატი 32A – 2 ცალი</w:t>
      </w:r>
    </w:p>
    <w:p w14:paraId="74ECF7E9" w14:textId="77978F8A" w:rsidR="007E3406" w:rsidRPr="007E3406" w:rsidRDefault="007E3406" w:rsidP="007E3406">
      <w:pPr>
        <w:ind w:left="360"/>
        <w:rPr>
          <w:rFonts w:cs="Sylfaen"/>
          <w:color w:val="244061" w:themeColor="accent1" w:themeShade="80"/>
          <w:lang w:val="ka-GE"/>
        </w:rPr>
      </w:pPr>
      <w:r w:rsidRPr="007E3406">
        <w:rPr>
          <w:rFonts w:cs="Sylfaen"/>
          <w:color w:val="244061" w:themeColor="accent1" w:themeShade="80"/>
          <w:lang w:val="ka-GE"/>
        </w:rPr>
        <w:t>პლასტიკის ყუთი ავტომატისთვის – 2 ცალი</w:t>
      </w:r>
    </w:p>
    <w:sectPr w:rsidR="007E3406" w:rsidRPr="007E3406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DF939" w14:textId="77777777" w:rsidR="007F5D39" w:rsidRDefault="007F5D39" w:rsidP="002E7950">
      <w:r>
        <w:separator/>
      </w:r>
    </w:p>
  </w:endnote>
  <w:endnote w:type="continuationSeparator" w:id="0">
    <w:p w14:paraId="6FC71373" w14:textId="77777777" w:rsidR="007F5D39" w:rsidRDefault="007F5D3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288B1E2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E110E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E110E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215A" w14:textId="77777777" w:rsidR="007F5D39" w:rsidRDefault="007F5D39" w:rsidP="002E7950">
      <w:r>
        <w:separator/>
      </w:r>
    </w:p>
  </w:footnote>
  <w:footnote w:type="continuationSeparator" w:id="0">
    <w:p w14:paraId="50CB9C60" w14:textId="77777777" w:rsidR="007F5D39" w:rsidRDefault="007F5D3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61AA6"/>
    <w:multiLevelType w:val="hybridMultilevel"/>
    <w:tmpl w:val="1E48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2E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47A3A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3FDE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406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5D39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10E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96FA3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2EBF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12E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1227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akash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74D7F-F296-4BEE-95F5-4F8F5DB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2</cp:revision>
  <cp:lastPrinted>2018-12-25T15:48:00Z</cp:lastPrinted>
  <dcterms:created xsi:type="dcterms:W3CDTF">2020-11-06T11:23:00Z</dcterms:created>
  <dcterms:modified xsi:type="dcterms:W3CDTF">2020-11-06T12:07:00Z</dcterms:modified>
</cp:coreProperties>
</file>